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27" w:rsidRDefault="00A70027" w:rsidP="00A70027">
      <w:pPr>
        <w:pStyle w:val="1"/>
        <w:rPr>
          <w:rFonts w:cs="Tahoma"/>
          <w:spacing w:val="-2"/>
        </w:rPr>
      </w:pPr>
      <w:r>
        <w:rPr>
          <w:rFonts w:cs="Tahoma"/>
          <w:spacing w:val="-2"/>
        </w:rPr>
        <w:t xml:space="preserve">Competence of the </w:t>
      </w:r>
      <w:r w:rsidRPr="002B39B8">
        <w:rPr>
          <w:rFonts w:cs="Tahoma"/>
          <w:bCs/>
          <w:szCs w:val="24"/>
        </w:rPr>
        <w:t xml:space="preserve">Management </w:t>
      </w:r>
      <w:r>
        <w:rPr>
          <w:rFonts w:cs="Tahoma"/>
          <w:spacing w:val="-2"/>
        </w:rPr>
        <w:t xml:space="preserve">Board </w:t>
      </w:r>
    </w:p>
    <w:p w:rsidR="00A70027" w:rsidRPr="0035572A" w:rsidRDefault="00A70027" w:rsidP="00A70027">
      <w:pPr>
        <w:pStyle w:val="1"/>
        <w:rPr>
          <w:rFonts w:cs="Tahoma"/>
          <w:spacing w:val="-2"/>
        </w:rPr>
      </w:pPr>
      <w:r>
        <w:rPr>
          <w:rFonts w:cs="Tahoma"/>
          <w:spacing w:val="-2"/>
        </w:rPr>
        <w:t>of Rosseti North-West, PJSC</w:t>
      </w:r>
    </w:p>
    <w:p w:rsidR="00A70027" w:rsidRPr="0035572A" w:rsidRDefault="00A70027" w:rsidP="00A70027">
      <w:pPr>
        <w:pStyle w:val="1"/>
        <w:rPr>
          <w:rFonts w:cs="Tahoma"/>
          <w:b w:val="0"/>
          <w:spacing w:val="-2"/>
        </w:rPr>
      </w:pPr>
    </w:p>
    <w:p w:rsidR="00A70027" w:rsidRPr="00953AEA" w:rsidRDefault="00A70027" w:rsidP="00953AEA">
      <w:pPr>
        <w:pStyle w:val="1"/>
        <w:rPr>
          <w:rFonts w:cs="Tahoma"/>
          <w:b w:val="0"/>
          <w:spacing w:val="-2"/>
        </w:rPr>
      </w:pPr>
      <w:r>
        <w:rPr>
          <w:rFonts w:cs="Tahoma"/>
          <w:b w:val="0"/>
          <w:spacing w:val="-2"/>
        </w:rPr>
        <w:t>pursuant to Clause 22.2 Article 22</w:t>
      </w:r>
      <w:r w:rsidRPr="0035572A">
        <w:rPr>
          <w:rFonts w:cs="Tahoma"/>
          <w:b w:val="0"/>
          <w:spacing w:val="-2"/>
        </w:rPr>
        <w:t xml:space="preserve"> </w:t>
      </w:r>
      <w:r>
        <w:rPr>
          <w:rFonts w:cs="Tahoma"/>
          <w:b w:val="0"/>
          <w:spacing w:val="-2"/>
        </w:rPr>
        <w:t xml:space="preserve">of the Articles of Association of the Company </w:t>
      </w:r>
      <w:r w:rsidRPr="0035572A">
        <w:rPr>
          <w:rFonts w:cs="Tahoma"/>
          <w:b w:val="0"/>
          <w:szCs w:val="22"/>
        </w:rPr>
        <w:t>(</w:t>
      </w:r>
      <w:r w:rsidR="00FC0A88">
        <w:rPr>
          <w:rFonts w:cs="Tahoma"/>
          <w:b w:val="0"/>
          <w:szCs w:val="22"/>
        </w:rPr>
        <w:t>as approved</w:t>
      </w:r>
      <w:r w:rsidR="00FC0A88">
        <w:rPr>
          <w:rFonts w:cs="Tahoma"/>
          <w:b w:val="0"/>
          <w:szCs w:val="22"/>
        </w:rPr>
        <w:br/>
      </w:r>
      <w:r>
        <w:rPr>
          <w:rFonts w:cs="Tahoma"/>
          <w:b w:val="0"/>
          <w:szCs w:val="22"/>
        </w:rPr>
        <w:t xml:space="preserve">by the Annual General Shareholders Meeting </w:t>
      </w:r>
      <w:r w:rsidRPr="0035572A">
        <w:rPr>
          <w:rFonts w:cs="Tahoma"/>
          <w:b w:val="0"/>
          <w:spacing w:val="-2"/>
        </w:rPr>
        <w:t>of</w:t>
      </w:r>
      <w:r>
        <w:rPr>
          <w:rFonts w:cs="Tahoma"/>
          <w:b w:val="0"/>
          <w:spacing w:val="-2"/>
        </w:rPr>
        <w:t xml:space="preserve"> </w:t>
      </w:r>
      <w:r w:rsidR="00953AEA" w:rsidRPr="00953AEA">
        <w:rPr>
          <w:rFonts w:cs="Tahoma"/>
          <w:b w:val="0"/>
          <w:spacing w:val="-2"/>
        </w:rPr>
        <w:t>the Company</w:t>
      </w:r>
    </w:p>
    <w:p w:rsidR="00A70027" w:rsidRDefault="00FC0A88" w:rsidP="00A70027">
      <w:pPr>
        <w:pStyle w:val="1"/>
        <w:rPr>
          <w:rFonts w:cs="Tahoma"/>
          <w:b w:val="0"/>
          <w:szCs w:val="22"/>
        </w:rPr>
      </w:pPr>
      <w:bookmarkStart w:id="0" w:name="_GoBack"/>
      <w:bookmarkEnd w:id="0"/>
      <w:r>
        <w:rPr>
          <w:rFonts w:cs="Tahoma"/>
          <w:b w:val="0"/>
          <w:szCs w:val="22"/>
        </w:rPr>
        <w:t xml:space="preserve"> dated 28</w:t>
      </w:r>
      <w:r w:rsidR="00A70027" w:rsidRPr="0035572A">
        <w:rPr>
          <w:rFonts w:cs="Tahoma"/>
          <w:b w:val="0"/>
          <w:szCs w:val="22"/>
        </w:rPr>
        <w:t>.0</w:t>
      </w:r>
      <w:r>
        <w:rPr>
          <w:rFonts w:cs="Tahoma"/>
          <w:b w:val="0"/>
          <w:szCs w:val="22"/>
        </w:rPr>
        <w:t>5.2021</w:t>
      </w:r>
      <w:r w:rsidR="00A70027" w:rsidRPr="0035572A">
        <w:rPr>
          <w:rFonts w:cs="Tahoma"/>
          <w:b w:val="0"/>
          <w:szCs w:val="22"/>
        </w:rPr>
        <w:t xml:space="preserve"> (</w:t>
      </w:r>
      <w:r w:rsidR="00A70027">
        <w:rPr>
          <w:rFonts w:cs="Tahoma"/>
          <w:b w:val="0"/>
          <w:szCs w:val="22"/>
        </w:rPr>
        <w:t>Minutes No.</w:t>
      </w:r>
      <w:r w:rsidR="00A70027" w:rsidRPr="0035572A">
        <w:rPr>
          <w:rFonts w:cs="Tahoma"/>
          <w:b w:val="0"/>
          <w:szCs w:val="22"/>
        </w:rPr>
        <w:t xml:space="preserve"> </w:t>
      </w:r>
      <w:r>
        <w:rPr>
          <w:rFonts w:cs="Tahoma"/>
          <w:b w:val="0"/>
          <w:szCs w:val="22"/>
        </w:rPr>
        <w:t>17</w:t>
      </w:r>
      <w:r w:rsidR="00A70027" w:rsidRPr="0035572A">
        <w:rPr>
          <w:rFonts w:cs="Tahoma"/>
          <w:b w:val="0"/>
          <w:szCs w:val="22"/>
        </w:rPr>
        <w:t>)</w:t>
      </w:r>
      <w:r w:rsidR="00A70027">
        <w:rPr>
          <w:rFonts w:cs="Tahoma"/>
          <w:b w:val="0"/>
          <w:szCs w:val="22"/>
        </w:rPr>
        <w:t>)</w:t>
      </w:r>
    </w:p>
    <w:p w:rsidR="00A70027" w:rsidRPr="00A70027" w:rsidRDefault="00A70027" w:rsidP="00A70027">
      <w:pPr>
        <w:rPr>
          <w:sz w:val="12"/>
          <w:szCs w:val="12"/>
          <w:lang w:val="en-US" w:eastAsia="ru-RU"/>
        </w:rPr>
      </w:pPr>
    </w:p>
    <w:p w:rsidR="00A70027" w:rsidRPr="00A70027" w:rsidRDefault="00A70027" w:rsidP="00A70027">
      <w:pPr>
        <w:widowControl w:val="0"/>
        <w:tabs>
          <w:tab w:val="left" w:pos="1134"/>
        </w:tabs>
        <w:spacing w:after="0" w:line="247" w:lineRule="auto"/>
        <w:ind w:firstLine="567"/>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22.2.</w:t>
      </w:r>
      <w:r w:rsidRPr="00A70027">
        <w:rPr>
          <w:rFonts w:ascii="Tahoma" w:eastAsia="Times New Roman" w:hAnsi="Tahoma" w:cs="Tahoma"/>
          <w:snapToGrid w:val="0"/>
          <w:szCs w:val="24"/>
          <w:lang w:val="en-US" w:eastAsia="ru-RU" w:bidi="en-US"/>
        </w:rPr>
        <w:tab/>
        <w:t>The following issues shall fall within the competence of the Company’s Management Board:</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working-out of the Company’s development strategy and i</w:t>
      </w:r>
      <w:r w:rsidR="00AD6ED3">
        <w:rPr>
          <w:rFonts w:ascii="Tahoma" w:eastAsia="Times New Roman" w:hAnsi="Tahoma" w:cs="Tahoma"/>
          <w:snapToGrid w:val="0"/>
          <w:szCs w:val="24"/>
          <w:lang w:val="en-US" w:eastAsia="ru-RU" w:bidi="en-US"/>
        </w:rPr>
        <w:t>ts submission for consideration</w:t>
      </w:r>
      <w:r w:rsidR="00AD6ED3">
        <w:rPr>
          <w:rFonts w:ascii="Tahoma" w:eastAsia="Times New Roman" w:hAnsi="Tahoma" w:cs="Tahoma"/>
          <w:snapToGrid w:val="0"/>
          <w:szCs w:val="24"/>
          <w:lang w:val="en-US" w:eastAsia="ru-RU" w:bidi="en-US"/>
        </w:rPr>
        <w:br/>
      </w:r>
      <w:r w:rsidRPr="00A70027">
        <w:rPr>
          <w:rFonts w:ascii="Tahoma" w:eastAsia="Times New Roman" w:hAnsi="Tahoma" w:cs="Tahoma"/>
          <w:snapToGrid w:val="0"/>
          <w:szCs w:val="24"/>
          <w:lang w:val="en-US" w:eastAsia="ru-RU" w:bidi="en-US"/>
        </w:rPr>
        <w:t>to the Board of Directors;</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zCs w:val="24"/>
          <w:lang w:val="en-US" w:eastAsia="ru-RU" w:bidi="en-US"/>
        </w:rPr>
        <w:t>preparation of the business plan (adjusted business plan) and quarterly report on the implementation of the business plan (for the first quarter, first half of the year, nine months, reporting year), as well as approval (updating) of cash flow (budget) of the Company;</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preparation of the annual report of the Company, the report on performance by the Management Board of the decisions of the Company’s General Me</w:t>
      </w:r>
      <w:r w:rsidR="00AD6ED3">
        <w:rPr>
          <w:rFonts w:ascii="Tahoma" w:eastAsia="Times New Roman" w:hAnsi="Tahoma" w:cs="Tahoma"/>
          <w:snapToGrid w:val="0"/>
          <w:szCs w:val="24"/>
          <w:lang w:val="en-US" w:eastAsia="ru-RU" w:bidi="en-US"/>
        </w:rPr>
        <w:t>eting of Shareholders and Board</w:t>
      </w:r>
      <w:r w:rsidR="00AD6ED3">
        <w:rPr>
          <w:rFonts w:ascii="Tahoma" w:eastAsia="Times New Roman" w:hAnsi="Tahoma" w:cs="Tahoma"/>
          <w:snapToGrid w:val="0"/>
          <w:szCs w:val="24"/>
          <w:lang w:val="en-US" w:eastAsia="ru-RU" w:bidi="en-US"/>
        </w:rPr>
        <w:br/>
      </w:r>
      <w:r w:rsidRPr="00A70027">
        <w:rPr>
          <w:rFonts w:ascii="Tahoma" w:eastAsia="Times New Roman" w:hAnsi="Tahoma" w:cs="Tahoma"/>
          <w:snapToGrid w:val="0"/>
          <w:szCs w:val="24"/>
          <w:lang w:val="en-US" w:eastAsia="ru-RU" w:bidi="en-US"/>
        </w:rPr>
        <w:t xml:space="preserve">of Directors; </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consideration of reports (information) of the Deputy General Directors of the Company, heads of standalone structural divisions of the Company on the activities of the Company and its subsidiaries and affiliates submitted for consideration by the Management Board of the Company in accordance with instructions from the Management Board or the Board of Directors of the Company;</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making decisions on matters assigned to the responsibility of Supreme Management Bodies of organizations in which the Company owns one hundred (100) percent of authorized capital (subject to Sub-Causes 35 and 36 of the Clause 15.1 of Article 15 of the Articles of Association);</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lang w:val="en-US" w:eastAsia="ru-RU"/>
        </w:rPr>
      </w:pPr>
      <w:r w:rsidRPr="00A70027">
        <w:rPr>
          <w:rFonts w:ascii="Tahoma" w:eastAsia="Times New Roman" w:hAnsi="Tahoma" w:cs="Tahoma"/>
          <w:szCs w:val="24"/>
          <w:lang w:val="en-US" w:eastAsia="ru-RU" w:bidi="en-US"/>
        </w:rPr>
        <w:t>decision on making transactions the subject matter of which is properties, works and services book value whereof is equal to 2–25 per cent of the balance sheet assets of the Company as defined according to the accounting (financial) statements as of the latest reporting date (except for cases specified in Sub-Cause 37 of Clause 15.1 thereof);</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zCs w:val="24"/>
          <w:lang w:val="en-US" w:eastAsia="ru-RU" w:bidi="en-US"/>
        </w:rPr>
        <w:t>effective risk management within the framework of the Company's current activity; approval of the budget for risk management measures in the Company within t</w:t>
      </w:r>
      <w:r w:rsidR="00AD6ED3">
        <w:rPr>
          <w:rFonts w:ascii="Tahoma" w:eastAsia="Times New Roman" w:hAnsi="Tahoma" w:cs="Tahoma"/>
          <w:szCs w:val="24"/>
          <w:lang w:val="en-US" w:eastAsia="ru-RU" w:bidi="en-US"/>
        </w:rPr>
        <w:t>he limits agreed by the Board</w:t>
      </w:r>
      <w:r w:rsidR="00AD6ED3">
        <w:rPr>
          <w:rFonts w:ascii="Tahoma" w:eastAsia="Times New Roman" w:hAnsi="Tahoma" w:cs="Tahoma"/>
          <w:szCs w:val="24"/>
          <w:lang w:val="en-US" w:eastAsia="ru-RU" w:bidi="en-US"/>
        </w:rPr>
        <w:br/>
      </w:r>
      <w:r w:rsidRPr="00A70027">
        <w:rPr>
          <w:rFonts w:ascii="Tahoma" w:eastAsia="Times New Roman" w:hAnsi="Tahoma" w:cs="Tahoma"/>
          <w:szCs w:val="24"/>
          <w:lang w:val="en-US" w:eastAsia="ru-RU" w:bidi="en-US"/>
        </w:rPr>
        <w:t>of Directors' resolution; solving cross-functional (accomplished by several structural subdivisions) issues for risk management;</w:t>
      </w:r>
    </w:p>
    <w:p w:rsidR="00A70027" w:rsidRPr="00A70027" w:rsidRDefault="00A70027" w:rsidP="00AD6ED3">
      <w:pPr>
        <w:widowControl w:val="0"/>
        <w:numPr>
          <w:ilvl w:val="0"/>
          <w:numId w:val="1"/>
        </w:numPr>
        <w:tabs>
          <w:tab w:val="clear" w:pos="360"/>
          <w:tab w:val="left" w:pos="426"/>
          <w:tab w:val="left" w:pos="900"/>
        </w:tabs>
        <w:spacing w:after="0" w:line="247" w:lineRule="auto"/>
        <w:jc w:val="both"/>
        <w:rPr>
          <w:rFonts w:ascii="Tahoma" w:eastAsia="Times New Roman" w:hAnsi="Tahoma" w:cs="Tahoma"/>
          <w:snapToGrid w:val="0"/>
          <w:szCs w:val="24"/>
          <w:lang w:val="en-US" w:eastAsia="ru-RU"/>
        </w:rPr>
      </w:pPr>
      <w:r w:rsidRPr="00A70027">
        <w:rPr>
          <w:rFonts w:ascii="Tahoma" w:eastAsia="Times New Roman" w:hAnsi="Tahoma" w:cs="Tahoma"/>
          <w:snapToGrid w:val="0"/>
          <w:szCs w:val="24"/>
          <w:lang w:val="en-US" w:eastAsia="ru-RU" w:bidi="en-US"/>
        </w:rPr>
        <w:t>solving other issues related to management of the current operations of the Company according to the decisions of the Company’s General Meeting of Shareholders, the Company’s Board of Directors, and the issues which were submitted by the Company’s General Director for the Management Board’s consideration.</w:t>
      </w:r>
    </w:p>
    <w:p w:rsidR="00232455" w:rsidRDefault="00232455">
      <w:pPr>
        <w:rPr>
          <w:lang w:val="en-US"/>
        </w:rPr>
      </w:pPr>
    </w:p>
    <w:sectPr w:rsidR="00232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41CC"/>
    <w:multiLevelType w:val="multilevel"/>
    <w:tmpl w:val="40740DA4"/>
    <w:lvl w:ilvl="0">
      <w:start w:val="1"/>
      <w:numFmt w:val="decimal"/>
      <w:lvlText w:val="%1)"/>
      <w:lvlJc w:val="left"/>
      <w:pPr>
        <w:tabs>
          <w:tab w:val="num" w:pos="360"/>
        </w:tabs>
        <w:ind w:left="-567" w:firstLine="567"/>
      </w:pPr>
      <w:rPr>
        <w:rFonts w:ascii="Arial" w:hAnsi="Arial" w:hint="default"/>
        <w:b w:val="0"/>
        <w:i w:val="0"/>
        <w:sz w:val="22"/>
      </w:rPr>
    </w:lvl>
    <w:lvl w:ilvl="1">
      <w:start w:val="1"/>
      <w:numFmt w:val="decimal"/>
      <w:lvlText w:val="21.%2."/>
      <w:lvlJc w:val="left"/>
      <w:pPr>
        <w:tabs>
          <w:tab w:val="num" w:pos="1440"/>
        </w:tabs>
        <w:ind w:left="0" w:firstLine="72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27"/>
    <w:rsid w:val="00232455"/>
    <w:rsid w:val="00544873"/>
    <w:rsid w:val="00953AEA"/>
    <w:rsid w:val="00A70027"/>
    <w:rsid w:val="00AD6ED3"/>
    <w:rsid w:val="00FA3141"/>
    <w:rsid w:val="00FC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FAFB5-0344-42D1-8400-2F7BCFC9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70027"/>
    <w:pPr>
      <w:keepNext/>
      <w:widowControl w:val="0"/>
      <w:spacing w:after="0" w:line="240" w:lineRule="auto"/>
      <w:jc w:val="center"/>
      <w:outlineLvl w:val="0"/>
    </w:pPr>
    <w:rPr>
      <w:rFonts w:ascii="Tahoma" w:eastAsia="Times New Roman" w:hAnsi="Tahoma" w:cs="Times New Roman"/>
      <w:b/>
      <w:snapToGrid w:val="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027"/>
    <w:rPr>
      <w:rFonts w:ascii="Tahoma" w:eastAsia="Times New Roman" w:hAnsi="Tahoma" w:cs="Times New Roman"/>
      <w:b/>
      <w:snapToGrid w:val="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18268">
      <w:bodyDiv w:val="1"/>
      <w:marLeft w:val="0"/>
      <w:marRight w:val="0"/>
      <w:marTop w:val="0"/>
      <w:marBottom w:val="0"/>
      <w:divBdr>
        <w:top w:val="none" w:sz="0" w:space="0" w:color="auto"/>
        <w:left w:val="none" w:sz="0" w:space="0" w:color="auto"/>
        <w:bottom w:val="none" w:sz="0" w:space="0" w:color="auto"/>
        <w:right w:val="none" w:sz="0" w:space="0" w:color="auto"/>
      </w:divBdr>
      <w:divsChild>
        <w:div w:id="115410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Анна Юрьевна</dc:creator>
  <cp:keywords/>
  <dc:description/>
  <cp:lastModifiedBy>Владимирова Анна Юрьевна</cp:lastModifiedBy>
  <cp:revision>4</cp:revision>
  <dcterms:created xsi:type="dcterms:W3CDTF">2022-10-06T08:41:00Z</dcterms:created>
  <dcterms:modified xsi:type="dcterms:W3CDTF">2022-10-13T12:10:00Z</dcterms:modified>
</cp:coreProperties>
</file>